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DE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丹东市深入推进信用修复“一件事”工作</w:t>
      </w:r>
    </w:p>
    <w:p w14:paraId="2A9931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实施方案政策解读</w:t>
      </w:r>
    </w:p>
    <w:p w14:paraId="346FC0F6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制定背景</w:t>
      </w:r>
    </w:p>
    <w:p w14:paraId="52F0D0D4">
      <w:pPr>
        <w:autoSpaceDE w:val="0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为深入贯彻落实</w:t>
      </w:r>
      <w:r>
        <w:rPr>
          <w:rFonts w:hint="eastAsia" w:ascii="仿宋_GB2312" w:hAnsi="Times New Roman" w:eastAsia="仿宋_GB2312"/>
          <w:sz w:val="32"/>
          <w:szCs w:val="32"/>
        </w:rPr>
        <w:t>《国务院关于进一步优化政务服务提升行政效能推动“高效办成一件事”的指导意见》（国发〔</w:t>
      </w:r>
      <w:r>
        <w:rPr>
          <w:rFonts w:hint="eastAsia" w:ascii="Times New Roman" w:hAnsi="Times New Roman" w:eastAsia="仿宋_GB2312"/>
          <w:sz w:val="32"/>
          <w:szCs w:val="32"/>
        </w:rPr>
        <w:t>2024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号）要求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扎实推进信用修复“一件事”落地见效，依据《辽宁省深入推进信用修复“一件事”工作实施方案》（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辽发改财金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〔2024〕324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  <w:r>
        <w:rPr>
          <w:rFonts w:hint="eastAsia" w:ascii="仿宋_GB2312" w:hAnsi="Times New Roman" w:eastAsia="仿宋_GB2312"/>
          <w:sz w:val="32"/>
          <w:szCs w:val="32"/>
        </w:rPr>
        <w:t>），</w:t>
      </w:r>
      <w:r>
        <w:rPr>
          <w:rFonts w:ascii="仿宋_GB2312" w:hAnsi="Times New Roman" w:eastAsia="仿宋_GB2312"/>
          <w:sz w:val="32"/>
          <w:szCs w:val="32"/>
        </w:rPr>
        <w:t>结合我</w:t>
      </w:r>
      <w:r>
        <w:rPr>
          <w:rFonts w:hint="eastAsia" w:ascii="仿宋_GB2312" w:hAnsi="Times New Roman" w:eastAsia="仿宋_GB2312"/>
          <w:sz w:val="32"/>
          <w:szCs w:val="32"/>
        </w:rPr>
        <w:t>市</w:t>
      </w:r>
      <w:r>
        <w:rPr>
          <w:rFonts w:ascii="仿宋_GB2312" w:hAnsi="Times New Roman" w:eastAsia="仿宋_GB2312"/>
          <w:sz w:val="32"/>
          <w:szCs w:val="32"/>
        </w:rPr>
        <w:t>实际，制定本</w:t>
      </w:r>
      <w:r>
        <w:rPr>
          <w:rFonts w:hint="eastAsia" w:ascii="仿宋_GB2312" w:hAnsi="Times New Roman" w:eastAsia="仿宋_GB2312"/>
          <w:sz w:val="32"/>
          <w:szCs w:val="32"/>
        </w:rPr>
        <w:t>实施</w:t>
      </w:r>
      <w:r>
        <w:rPr>
          <w:rFonts w:ascii="仿宋_GB2312" w:hAnsi="Times New Roman" w:eastAsia="仿宋_GB2312"/>
          <w:sz w:val="32"/>
          <w:szCs w:val="32"/>
        </w:rPr>
        <w:t>方案。</w:t>
      </w:r>
    </w:p>
    <w:p w14:paraId="74729951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主要内容</w:t>
      </w:r>
    </w:p>
    <w:p w14:paraId="52009CD7">
      <w:pPr>
        <w:pStyle w:val="2"/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《工作实施方案》共分为总体要求、服务范围、业务实施、工作职责、保障措施五个方面。</w:t>
      </w:r>
    </w:p>
    <w:p w14:paraId="3590BEBF">
      <w:pPr>
        <w:numPr>
          <w:ilvl w:val="0"/>
          <w:numId w:val="0"/>
        </w:numPr>
        <w:autoSpaceDE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（一）总体要求：</w:t>
      </w:r>
      <w:r>
        <w:rPr>
          <w:rFonts w:hint="eastAsia" w:ascii="仿宋_GB2312" w:hAnsi="Times New Roman" w:eastAsia="仿宋_GB2312"/>
          <w:sz w:val="32"/>
          <w:szCs w:val="32"/>
        </w:rPr>
        <w:t>坚持以习近平新时代中国特色社会主义思想为指导，全面贯彻落实党的二十大精神，按照“高效办成一件事”统一部署，统筹推进行政处罚信息、异常名录、严重失信主体名单等信用修复，统一信用信息公示和修复渠道，优化信用修复规则，全面落实</w:t>
      </w:r>
      <w:r>
        <w:rPr>
          <w:rFonts w:ascii="仿宋_GB2312" w:hAnsi="Times New Roman" w:eastAsia="仿宋_GB2312"/>
          <w:sz w:val="32"/>
          <w:szCs w:val="32"/>
        </w:rPr>
        <w:t>信用修复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一件事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服务模式，</w:t>
      </w:r>
      <w:r>
        <w:rPr>
          <w:rFonts w:hint="eastAsia" w:ascii="仿宋_GB2312" w:hAnsi="Times New Roman" w:eastAsia="仿宋_GB2312"/>
          <w:sz w:val="32"/>
          <w:szCs w:val="32"/>
        </w:rPr>
        <w:t>提升信用修复服务质效，</w:t>
      </w:r>
      <w:r>
        <w:rPr>
          <w:rFonts w:ascii="仿宋_GB2312" w:hAnsi="Times New Roman" w:eastAsia="仿宋_GB2312"/>
          <w:sz w:val="32"/>
          <w:szCs w:val="32"/>
        </w:rPr>
        <w:t>通过线上线下融合，</w:t>
      </w:r>
      <w:r>
        <w:rPr>
          <w:rFonts w:hint="eastAsia" w:ascii="仿宋_GB2312" w:hAnsi="Times New Roman" w:eastAsia="仿宋_GB2312"/>
          <w:sz w:val="32"/>
          <w:szCs w:val="32"/>
        </w:rPr>
        <w:t>推进信用修复“一口受理”、“一网通办”，</w:t>
      </w:r>
      <w:r>
        <w:rPr>
          <w:rFonts w:ascii="仿宋_GB2312" w:hAnsi="Times New Roman" w:eastAsia="仿宋_GB2312"/>
          <w:sz w:val="32"/>
          <w:szCs w:val="32"/>
        </w:rPr>
        <w:t>实现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一次告知、一套材料、一次办成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让符合条件的经营主体依法依规、更加方便快捷地修复信用。</w:t>
      </w:r>
    </w:p>
    <w:p w14:paraId="22CF41A9">
      <w:pPr>
        <w:numPr>
          <w:ilvl w:val="0"/>
          <w:numId w:val="0"/>
        </w:numPr>
        <w:autoSpaceDE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（二）服务范围：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一是</w:t>
      </w:r>
      <w:r>
        <w:rPr>
          <w:rFonts w:ascii="仿宋_GB2312" w:hAnsi="Times New Roman" w:eastAsia="仿宋_GB2312"/>
          <w:sz w:val="32"/>
          <w:szCs w:val="32"/>
        </w:rPr>
        <w:t>受到行政机关行政处罚的</w:t>
      </w:r>
      <w:r>
        <w:rPr>
          <w:rFonts w:hint="eastAsia" w:ascii="仿宋_GB2312" w:hAnsi="Times New Roman" w:eastAsia="仿宋_GB2312"/>
          <w:sz w:val="32"/>
          <w:szCs w:val="32"/>
        </w:rPr>
        <w:t>经营</w:t>
      </w:r>
      <w:r>
        <w:rPr>
          <w:rFonts w:ascii="仿宋_GB2312" w:hAnsi="Times New Roman" w:eastAsia="仿宋_GB2312"/>
          <w:sz w:val="32"/>
          <w:szCs w:val="32"/>
        </w:rPr>
        <w:t>主体。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二是</w:t>
      </w:r>
      <w:r>
        <w:rPr>
          <w:rFonts w:ascii="仿宋_GB2312" w:hAnsi="Times New Roman" w:eastAsia="仿宋_GB2312"/>
          <w:sz w:val="32"/>
          <w:szCs w:val="32"/>
        </w:rPr>
        <w:t>被市场监管部门列入经营异常名录的经营主体</w:t>
      </w:r>
      <w:r>
        <w:rPr>
          <w:rFonts w:hint="eastAsia" w:ascii="仿宋_GB2312" w:hAnsi="Times New Roman" w:eastAsia="仿宋_GB2312"/>
          <w:sz w:val="32"/>
          <w:szCs w:val="32"/>
        </w:rPr>
        <w:t>，被民政部门列入社会组织活动异常名录的社会组织</w:t>
      </w:r>
      <w:r>
        <w:rPr>
          <w:rFonts w:ascii="仿宋_GB2312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三是</w:t>
      </w:r>
      <w:r>
        <w:rPr>
          <w:rFonts w:ascii="仿宋_GB2312" w:hAnsi="Times New Roman" w:eastAsia="仿宋_GB2312"/>
          <w:sz w:val="32"/>
          <w:szCs w:val="32"/>
        </w:rPr>
        <w:t>被列入严重违法失信名单的</w:t>
      </w:r>
      <w:r>
        <w:rPr>
          <w:rFonts w:hint="eastAsia" w:ascii="仿宋_GB2312" w:hAnsi="Times New Roman" w:eastAsia="仿宋_GB2312"/>
          <w:sz w:val="32"/>
          <w:szCs w:val="32"/>
        </w:rPr>
        <w:t>经营</w:t>
      </w:r>
      <w:r>
        <w:rPr>
          <w:rFonts w:ascii="仿宋_GB2312" w:hAnsi="Times New Roman" w:eastAsia="仿宋_GB2312"/>
          <w:sz w:val="32"/>
          <w:szCs w:val="32"/>
        </w:rPr>
        <w:t>主体</w:t>
      </w:r>
      <w:r>
        <w:rPr>
          <w:rFonts w:hint="eastAsia" w:ascii="仿宋_GB2312" w:hAnsi="Times New Roman" w:eastAsia="仿宋_GB2312"/>
          <w:sz w:val="32"/>
          <w:szCs w:val="32"/>
        </w:rPr>
        <w:t>和社会组织</w:t>
      </w:r>
      <w:r>
        <w:rPr>
          <w:rFonts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行业主管部门主要包括法院、人力资源社会保障、税务、统计、应急管理、民政、市场监管等部门。</w:t>
      </w:r>
    </w:p>
    <w:p w14:paraId="28C45002">
      <w:pPr>
        <w:numPr>
          <w:ilvl w:val="0"/>
          <w:numId w:val="0"/>
        </w:numPr>
        <w:autoSpaceDE w:val="0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（三）业务实施：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分为</w:t>
      </w:r>
      <w:r>
        <w:rPr>
          <w:rFonts w:hint="eastAsia" w:ascii="仿宋_GB2312" w:hAnsi="Times New Roman" w:eastAsia="仿宋_GB2312"/>
          <w:sz w:val="32"/>
          <w:szCs w:val="32"/>
        </w:rPr>
        <w:t>线上办理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和线下办理。</w:t>
      </w:r>
      <w:r>
        <w:rPr>
          <w:rFonts w:hint="eastAsia" w:ascii="仿宋_GB2312" w:eastAsia="仿宋_GB2312"/>
          <w:sz w:val="32"/>
          <w:szCs w:val="32"/>
          <w:lang w:eastAsia="zh-CN"/>
        </w:rPr>
        <w:t>线上办理由</w:t>
      </w:r>
      <w:r>
        <w:rPr>
          <w:rFonts w:hint="eastAsia" w:ascii="仿宋_GB2312" w:eastAsia="仿宋_GB2312"/>
          <w:sz w:val="32"/>
          <w:szCs w:val="32"/>
        </w:rPr>
        <w:t>“信用中国”网站一口受理信用修复申请、查询修复结果，修复结果由国家公共信用和地理空间信息中心作出决定并终止公示。线下办理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各县（市）区信用主管部门要在本部门统一设置信用修复“一件事”办公室，设立专人专岗，开通信用修复答疑热线电话，提供政策引导、业务咨询、流程解答、材料核实等服务，并在现场帮助不便线上办理的申请主体在“信用中国”网站下载修复申请材料。</w:t>
      </w:r>
    </w:p>
    <w:p w14:paraId="4B384B96">
      <w:pPr>
        <w:numPr>
          <w:ilvl w:val="0"/>
          <w:numId w:val="0"/>
        </w:numPr>
        <w:autoSpaceDE w:val="0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（四）工作职责：</w:t>
      </w:r>
      <w:r>
        <w:rPr>
          <w:rFonts w:hint="eastAsia" w:ascii="仿宋_GB2312" w:hAnsi="Times New Roman" w:eastAsia="仿宋_GB2312"/>
          <w:sz w:val="32"/>
          <w:szCs w:val="32"/>
        </w:rPr>
        <w:t>市发展改革委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数据</w:t>
      </w:r>
      <w:r>
        <w:rPr>
          <w:rFonts w:hint="eastAsia" w:ascii="仿宋_GB2312" w:hAnsi="Times New Roman" w:eastAsia="仿宋_GB2312"/>
          <w:sz w:val="32"/>
          <w:szCs w:val="32"/>
        </w:rPr>
        <w:t>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市信用中心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涉及行政处罚和异常名录的相关部门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设列严重失信主体名单的有关部门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Times New Roman" w:eastAsia="仿宋_GB2312"/>
          <w:sz w:val="32"/>
          <w:szCs w:val="32"/>
        </w:rPr>
        <w:t>各县（市）区信用建设牵头部门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按照方案要求各司其职。</w:t>
      </w:r>
    </w:p>
    <w:p w14:paraId="1CBF24DA">
      <w:pPr>
        <w:numPr>
          <w:ilvl w:val="0"/>
          <w:numId w:val="0"/>
        </w:numPr>
        <w:autoSpaceDE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（五）保障措施：包括加强组织领导、加强要素保障、加强业务培训和加强宣传推广等4项措施。</w:t>
      </w:r>
    </w:p>
    <w:p w14:paraId="6C01B189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文件解读单位：丹东市发展和改革委员会</w:t>
      </w:r>
    </w:p>
    <w:p w14:paraId="31ADC9EB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解读人：米谷</w:t>
      </w:r>
    </w:p>
    <w:p w14:paraId="58EACA8D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解读人办公电话：0415-2866082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785B2"/>
    <w:multiLevelType w:val="singleLevel"/>
    <w:tmpl w:val="E72785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NTBmMzM3YTc4MTI1MzEyNzBlMmE0MTM4Yjc0MDAifQ=="/>
  </w:docVars>
  <w:rsids>
    <w:rsidRoot w:val="00000000"/>
    <w:rsid w:val="14F07F5A"/>
    <w:rsid w:val="29F91C72"/>
    <w:rsid w:val="461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941</Characters>
  <Lines>0</Lines>
  <Paragraphs>0</Paragraphs>
  <TotalTime>20</TotalTime>
  <ScaleCrop>false</ScaleCrop>
  <LinksUpToDate>false</LinksUpToDate>
  <CharactersWithSpaces>945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2024-09-18T01:31:00Z</dcterms:created>
  <dc:creator>Administrator</dc:creator>
  <cp:lastModifiedBy>塔塔</cp:lastModifiedBy>
  <dcterms:modified xsi:type="dcterms:W3CDTF">2024-10-10T06:06:09Z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9764945558564ED79CD10040066FEC5E_12</vt:lpwstr>
  </property>
</Properties>
</file>